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исьмом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Казначейства России от 21.01.2026 N 07-04-05/04-1142</w:t>
      </w:r>
      <w:r>
        <w:rPr>
          <w:rFonts w:ascii="Times New Roman" w:hAnsi="Times New Roman"/>
          <w:b w:val="0"/>
          <w:color w:val="000000"/>
          <w:sz w:val="28"/>
          <w:u w:val="none"/>
        </w:rPr>
        <w:br/>
      </w:r>
      <w:r>
        <w:rPr>
          <w:rFonts w:ascii="Times New Roman" w:hAnsi="Times New Roman"/>
          <w:b w:val="0"/>
          <w:color w:val="000000"/>
          <w:sz w:val="28"/>
          <w:u w:val="none"/>
        </w:rPr>
        <w:t>"О направлении информации", к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азначейство информирует о новых составах административных правонарушений, закрепленных в 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КоАП РФ. </w:t>
      </w:r>
    </w:p>
    <w:p w14:paraId="02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Сообщается о введении административной ответственности и размерах штрафов за несоблюдение:</w:t>
      </w:r>
    </w:p>
    <w:p w14:paraId="03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требования о ведении раздельного учета результатов финансово-хозяйственной деятельности при исполнении государственного (муниципального) контракта, договора (соглашения), контракта (договора), средства для исполнения обязательств по которым подлежат казначейскому сопровождению (статья 15.37.1 КоАП);</w:t>
      </w:r>
    </w:p>
    <w:p w14:paraId="04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срока утверждения сведений об операциях со средствами, подлежащими казначейскому сопровождению (статья 15.49 КоАП).</w:t>
      </w:r>
    </w:p>
    <w:p w14:paraId="05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При этом, в частности, обращено внимание на установленный срок (10 рабочих дней), в течение которого подлежат утверждению заказчиком (получателем бюджетных средств) указанные сведения.</w:t>
      </w:r>
    </w:p>
    <w:p w14:paraId="06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</w:p>
    <w:p w14:paraId="07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Прокуратура Татышлинского района.</w:t>
      </w:r>
    </w:p>
    <w:p w14:paraId="08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br/>
      </w:r>
    </w:p>
    <w:p w14:paraId="09000000">
      <w:pPr>
        <w:widowControl w:val="1"/>
        <w:ind w:firstLine="567" w:left="0"/>
        <w:rPr>
          <w:rFonts w:ascii="Times New Roman" w:hAnsi="Times New Roman"/>
          <w:sz w:val="28"/>
        </w:rPr>
      </w:pPr>
    </w:p>
    <w:p w14:paraId="0A000000">
      <w:pPr>
        <w:widowControl w:val="1"/>
        <w:ind w:firstLine="567" w:left="0"/>
        <w:rPr>
          <w:rFonts w:ascii="sans-serif" w:hAnsi="sans-serif"/>
          <w:i w:val="0"/>
          <w:caps w:val="0"/>
          <w:spacing w:val="0"/>
          <w:sz w:val="21"/>
          <w:highlight w:val="white"/>
        </w:rPr>
      </w:pPr>
    </w:p>
    <w:p w14:paraId="0B000000">
      <w:pPr>
        <w:widowControl w:val="1"/>
        <w:numPr>
          <w:ilvl w:val="0"/>
          <w:numId w:val="0"/>
        </w:numPr>
        <w:ind w:firstLine="567" w:left="0"/>
      </w:pPr>
    </w:p>
    <w:p w14:paraId="0C000000">
      <w:pPr>
        <w:widowControl w:val="1"/>
        <w:numPr>
          <w:ilvl w:val="0"/>
          <w:numId w:val="0"/>
        </w:numPr>
        <w:ind w:firstLine="567" w:left="0"/>
      </w:pPr>
    </w:p>
    <w:p w14:paraId="0D000000">
      <w:pPr>
        <w:widowControl w:val="1"/>
        <w:numPr>
          <w:ilvl w:val="0"/>
          <w:numId w:val="0"/>
        </w:numPr>
        <w:ind w:firstLine="567" w:left="0"/>
      </w:pPr>
    </w:p>
    <w:p w14:paraId="0E000000">
      <w:pPr>
        <w:widowControl w:val="1"/>
        <w:numPr>
          <w:ilvl w:val="0"/>
          <w:numId w:val="0"/>
        </w:numPr>
        <w:ind w:firstLine="567" w:left="0"/>
      </w:pPr>
    </w:p>
    <w:p w14:paraId="0F000000">
      <w:pPr>
        <w:widowControl w:val="1"/>
        <w:numPr>
          <w:ilvl w:val="0"/>
          <w:numId w:val="0"/>
        </w:numPr>
        <w:ind w:firstLine="567" w:left="0"/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val="0000FF"/>
      <w:u w:val="single"/>
    </w:rPr>
  </w:style>
  <w:style w:styleId="Style_11_ch" w:type="character">
    <w:name w:val="Hyperlink"/>
    <w:basedOn w:val="Style_12_ch"/>
    <w:link w:val="Style_11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2026-04-15T12:50:29Z</dcterms:modified>
</cp:coreProperties>
</file>