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before="0"/>
        <w:ind w:firstLine="567" w:left="0" w:right="0"/>
        <w:jc w:val="both"/>
        <w:rPr>
          <w:rFonts w:ascii="Times New Roman" w:hAnsi="Times New Roman"/>
          <w:b w:val="0"/>
          <w:i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trike w:val="0"/>
          <w:color w:val="000000"/>
          <w:sz w:val="28"/>
          <w:u w:color="000000" w:val="none"/>
        </w:rPr>
        <w:t>Письмом</w:t>
      </w:r>
      <w:r>
        <w:rPr>
          <w:rFonts w:ascii="Times New Roman" w:hAnsi="Times New Roman"/>
          <w:b w:val="0"/>
          <w:i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i w:val="0"/>
          <w:color w:val="000000"/>
          <w:sz w:val="28"/>
          <w:u w:val="none"/>
        </w:rPr>
        <w:t>Минстроя России от 23.12.2025 N 36490-ОГ/00</w:t>
      </w:r>
      <w:r>
        <w:rPr>
          <w:rFonts w:ascii="Times New Roman" w:hAnsi="Times New Roman"/>
          <w:b w:val="0"/>
          <w:i w:val="0"/>
          <w:color w:val="000000"/>
          <w:sz w:val="28"/>
          <w:u w:val="none"/>
        </w:rPr>
        <w:br/>
      </w:r>
      <w:r>
        <w:rPr>
          <w:rFonts w:ascii="Times New Roman" w:hAnsi="Times New Roman"/>
          <w:b w:val="0"/>
          <w:i w:val="0"/>
          <w:color w:val="000000"/>
          <w:sz w:val="28"/>
          <w:u w:val="none"/>
        </w:rPr>
        <w:t>«О содержании и проведении ремонтных работ на детских игровых площадках, парковочных местах, тротуарах и внутридворовых проездах, расположенных на откадастрированном земельном участке, предназначенном для строительства многоквартирного жилого дома»</w:t>
      </w:r>
      <w:r>
        <w:rPr>
          <w:rFonts w:ascii="Times New Roman" w:hAnsi="Times New Roman"/>
          <w:b w:val="0"/>
          <w:i w:val="0"/>
          <w:color w:val="000000"/>
          <w:sz w:val="28"/>
          <w:u w:val="none"/>
        </w:rPr>
        <w:t xml:space="preserve"> рассмотрен вопрос о содержании элементов благоустройства, детских и спортивных площадок, расположенных в границах придомовой территории</w:t>
      </w:r>
      <w:r>
        <w:rPr>
          <w:rFonts w:ascii="Times New Roman" w:hAnsi="Times New Roman"/>
          <w:b w:val="0"/>
          <w:i w:val="0"/>
          <w:color w:val="000000"/>
          <w:sz w:val="28"/>
          <w:u w:val="none"/>
        </w:rPr>
        <w:t>.</w:t>
      </w:r>
    </w:p>
    <w:p w14:paraId="02000000">
      <w:pPr>
        <w:widowControl w:val="1"/>
        <w:spacing w:after="0" w:before="0"/>
        <w:ind w:firstLine="567" w:left="0" w:right="0"/>
        <w:jc w:val="both"/>
        <w:rPr>
          <w:rFonts w:ascii="Times New Roman" w:hAnsi="Times New Roman"/>
          <w:b w:val="0"/>
          <w:i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color w:val="000000"/>
          <w:sz w:val="28"/>
          <w:u w:val="none"/>
        </w:rPr>
        <w:t>Сообщается, что надлежащее содержание таких элементов благоустройства, детских и спортивных площадок относится к обязанностям лица, осуществляющего управление многоквартирным домом (управляющая организация, товарищество собственников жилья, жилищный или жилищно-строительный кооператив), и оплачивается за счет денежных средств, вносимых собственниками в качестве платы за содержание жилого помещения в многоквартирном доме.</w:t>
      </w:r>
    </w:p>
    <w:p w14:paraId="03000000">
      <w:pPr>
        <w:widowControl w:val="1"/>
        <w:spacing w:after="0" w:before="0"/>
        <w:ind w:firstLine="567" w:left="0" w:right="0"/>
        <w:jc w:val="both"/>
        <w:rPr>
          <w:rFonts w:ascii="Times New Roman" w:hAnsi="Times New Roman"/>
          <w:b w:val="0"/>
          <w:i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color w:val="000000"/>
          <w:sz w:val="28"/>
          <w:u w:val="none"/>
        </w:rPr>
        <w:t>В случае если земельный участок не сформирован и не включен в состав общего имущества собственников помещений в многоквартирном доме, содержание такого земельного участка, включая тротуары, паркинги, детские и спортивные площадки, зоны отдыха и другие элементы благоустройства, расположенные в границах такого земельного участка,</w:t>
      </w:r>
      <w:r>
        <w:rPr>
          <w:rFonts w:ascii="Times New Roman" w:hAnsi="Times New Roman"/>
          <w:b w:val="0"/>
          <w:i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i w:val="0"/>
          <w:color w:val="000000"/>
          <w:sz w:val="28"/>
          <w:u w:val="none"/>
        </w:rPr>
        <w:t>осуществляется органами местного самоуправления.</w:t>
      </w:r>
    </w:p>
    <w:p w14:paraId="04000000">
      <w:pPr>
        <w:widowControl w:val="1"/>
        <w:spacing w:after="0" w:before="0"/>
        <w:ind w:firstLine="567" w:left="0" w:right="0"/>
        <w:jc w:val="both"/>
        <w:rPr>
          <w:rFonts w:ascii="Times New Roman" w:hAnsi="Times New Roman"/>
          <w:b w:val="0"/>
          <w:i w:val="0"/>
          <w:color w:val="000000"/>
          <w:sz w:val="28"/>
          <w:u w:val="none"/>
        </w:rPr>
      </w:pPr>
    </w:p>
    <w:p w14:paraId="05000000">
      <w:pPr>
        <w:widowControl w:val="1"/>
        <w:spacing w:after="0" w:before="0"/>
        <w:ind w:firstLine="567" w:left="0" w:right="0"/>
        <w:jc w:val="both"/>
        <w:rPr>
          <w:rFonts w:ascii="Times New Roman" w:hAnsi="Times New Roman"/>
          <w:b w:val="0"/>
          <w:i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color w:val="000000"/>
          <w:sz w:val="28"/>
          <w:u w:val="none"/>
        </w:rPr>
        <w:t>Прокуратура Татышлинского района.</w:t>
      </w:r>
    </w:p>
    <w:p w14:paraId="06000000">
      <w:pPr>
        <w:widowControl w:val="1"/>
        <w:spacing w:after="0" w:before="0"/>
        <w:ind w:firstLine="567" w:left="0" w:right="0"/>
        <w:jc w:val="both"/>
        <w:rPr>
          <w:rFonts w:ascii="Times New Roman" w:hAnsi="Times New Roman"/>
          <w:b w:val="0"/>
          <w:i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color w:val="000000"/>
          <w:sz w:val="28"/>
          <w:u w:val="none"/>
        </w:rPr>
        <w:br/>
      </w:r>
    </w:p>
    <w:p w14:paraId="07000000">
      <w:pPr>
        <w:widowControl w:val="1"/>
        <w:ind w:firstLine="567" w:left="0"/>
        <w:rPr>
          <w:rFonts w:ascii="Times New Roman" w:hAnsi="Times New Roman"/>
          <w:sz w:val="28"/>
        </w:rPr>
      </w:pPr>
    </w:p>
    <w:p w14:paraId="08000000">
      <w:pPr>
        <w:widowControl w:val="1"/>
        <w:ind w:firstLine="567" w:left="0"/>
        <w:rPr>
          <w:rFonts w:ascii="sans-serif" w:hAnsi="sans-serif"/>
          <w:i w:val="0"/>
          <w:caps w:val="0"/>
          <w:spacing w:val="0"/>
          <w:sz w:val="21"/>
          <w:highlight w:val="white"/>
        </w:rPr>
      </w:pPr>
    </w:p>
    <w:p w14:paraId="09000000">
      <w:pPr>
        <w:widowControl w:val="1"/>
        <w:numPr>
          <w:ilvl w:val="0"/>
          <w:numId w:val="0"/>
        </w:numPr>
        <w:ind w:firstLine="567" w:left="0"/>
      </w:pPr>
    </w:p>
    <w:p w14:paraId="0A000000">
      <w:pPr>
        <w:widowControl w:val="1"/>
        <w:numPr>
          <w:ilvl w:val="0"/>
          <w:numId w:val="0"/>
        </w:numPr>
        <w:ind w:firstLine="567" w:left="0"/>
      </w:pPr>
    </w:p>
    <w:p w14:paraId="0B000000">
      <w:pPr>
        <w:widowControl w:val="1"/>
        <w:numPr>
          <w:ilvl w:val="0"/>
          <w:numId w:val="0"/>
        </w:numPr>
        <w:ind w:firstLine="567" w:left="0"/>
      </w:pPr>
    </w:p>
    <w:p w14:paraId="0C000000">
      <w:pPr>
        <w:widowControl w:val="1"/>
        <w:numPr>
          <w:ilvl w:val="0"/>
          <w:numId w:val="0"/>
        </w:numPr>
        <w:ind w:firstLine="567" w:left="0"/>
      </w:pPr>
    </w:p>
    <w:p w14:paraId="0D000000">
      <w:pPr>
        <w:widowControl w:val="1"/>
        <w:numPr>
          <w:ilvl w:val="0"/>
          <w:numId w:val="0"/>
        </w:numPr>
        <w:ind w:firstLine="567" w:left="0"/>
      </w:pPr>
      <w:bookmarkStart w:id="1" w:name="_GoBack"/>
      <w:bookmarkEnd w:id="1"/>
    </w:p>
    <w:sectPr>
      <w:pgSz w:h="16838" w:orient="portrait" w:w="11906"/>
      <w:pgMar w:bottom="1440" w:footer="720" w:gutter="0" w:header="720" w:left="1800" w:right="1800" w:top="14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rPr>
      <w:rFonts w:asciiTheme="minorAscii" w:hAnsiTheme="minorHAnsi"/>
    </w:rPr>
  </w:style>
  <w:style w:default="1" w:styleId="Style_1_ch" w:type="character">
    <w:name w:val="Normal"/>
    <w:link w:val="Style_1"/>
    <w:rPr>
      <w:rFonts w:asciiTheme="minorAscii" w:hAnsiTheme="minorHAnsi"/>
    </w:rPr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basedOn w:val="Style_12"/>
    <w:link w:val="Style_11_ch"/>
    <w:rPr>
      <w:color w:val="0000FF"/>
      <w:u w:val="single"/>
    </w:rPr>
  </w:style>
  <w:style w:styleId="Style_11_ch" w:type="character">
    <w:name w:val="Hyperlink"/>
    <w:basedOn w:val="Style_12_ch"/>
    <w:link w:val="Style_11"/>
    <w:rPr>
      <w:color w:val="0000FF"/>
      <w:u w:val="single"/>
    </w:rPr>
  </w:style>
  <w:style w:styleId="Style_13" w:type="paragraph">
    <w:name w:val="Footnote"/>
    <w:link w:val="Style_13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18" w:type="paragraph">
    <w:name w:val="toc 5"/>
    <w:next w:val="Style_1"/>
    <w:link w:val="Style_18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2026-04-15T13:08:25Z</dcterms:modified>
</cp:coreProperties>
</file>